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F3" w:rsidRPr="00FE4314" w:rsidRDefault="00990EF3" w:rsidP="00990EF3">
      <w:pPr>
        <w:shd w:val="clear" w:color="auto" w:fill="FFFFFF"/>
        <w:ind w:firstLine="284"/>
        <w:jc w:val="center"/>
        <w:rPr>
          <w:b/>
        </w:rPr>
      </w:pPr>
      <w:r w:rsidRPr="00FE4314">
        <w:rPr>
          <w:b/>
        </w:rPr>
        <w:t xml:space="preserve">Образовательная автономная некоммерческая организация высшего образования </w:t>
      </w:r>
    </w:p>
    <w:p w:rsidR="00990EF3" w:rsidRPr="001C156E" w:rsidRDefault="00990EF3" w:rsidP="00990EF3">
      <w:pPr>
        <w:shd w:val="clear" w:color="auto" w:fill="FFFFFF"/>
        <w:ind w:firstLine="284"/>
        <w:jc w:val="center"/>
        <w:rPr>
          <w:b/>
          <w:sz w:val="28"/>
        </w:rPr>
      </w:pPr>
      <w:r w:rsidRPr="001C156E">
        <w:rPr>
          <w:b/>
          <w:sz w:val="28"/>
        </w:rPr>
        <w:t>«Московская высшая школа социальных и экономических наук»</w:t>
      </w:r>
    </w:p>
    <w:p w:rsidR="00990EF3" w:rsidRPr="001C156E" w:rsidRDefault="00990EF3" w:rsidP="00990EF3">
      <w:pPr>
        <w:shd w:val="clear" w:color="auto" w:fill="FFFFFF"/>
        <w:ind w:firstLine="284"/>
        <w:jc w:val="center"/>
        <w:rPr>
          <w:b/>
          <w:sz w:val="28"/>
        </w:rPr>
      </w:pPr>
      <w:r w:rsidRPr="001C156E">
        <w:rPr>
          <w:b/>
          <w:sz w:val="28"/>
        </w:rPr>
        <w:t xml:space="preserve">Факультет </w:t>
      </w:r>
      <w:r w:rsidR="0070153C">
        <w:rPr>
          <w:b/>
          <w:sz w:val="28"/>
        </w:rPr>
        <w:t xml:space="preserve">политических </w:t>
      </w:r>
      <w:r w:rsidRPr="00990EF3">
        <w:rPr>
          <w:b/>
          <w:sz w:val="28"/>
        </w:rPr>
        <w:t>наук</w:t>
      </w:r>
    </w:p>
    <w:p w:rsidR="00990EF3" w:rsidRPr="001C156E" w:rsidRDefault="00990EF3" w:rsidP="00990EF3">
      <w:pPr>
        <w:shd w:val="clear" w:color="auto" w:fill="FFFFFF"/>
        <w:ind w:firstLine="284"/>
        <w:jc w:val="both"/>
        <w:rPr>
          <w:b/>
          <w:sz w:val="28"/>
        </w:rPr>
      </w:pPr>
    </w:p>
    <w:p w:rsidR="00990EF3" w:rsidRDefault="00990EF3" w:rsidP="00990EF3">
      <w:pPr>
        <w:shd w:val="clear" w:color="auto" w:fill="FFFFFF"/>
        <w:ind w:firstLine="284"/>
        <w:jc w:val="both"/>
        <w:rPr>
          <w:b/>
        </w:rPr>
      </w:pPr>
    </w:p>
    <w:p w:rsidR="00990EF3" w:rsidRDefault="00990EF3" w:rsidP="00990EF3">
      <w:pPr>
        <w:ind w:firstLine="284"/>
        <w:jc w:val="both"/>
      </w:pPr>
    </w:p>
    <w:p w:rsidR="00F9130A" w:rsidRPr="00F9130A" w:rsidRDefault="00F9130A" w:rsidP="00F9130A">
      <w:pPr>
        <w:pStyle w:val="NoSpacing"/>
      </w:pPr>
    </w:p>
    <w:p w:rsidR="00990EF3" w:rsidRDefault="00990EF3" w:rsidP="00990EF3">
      <w:pPr>
        <w:spacing w:after="0" w:line="240" w:lineRule="auto"/>
        <w:ind w:firstLine="284"/>
        <w:jc w:val="both"/>
      </w:pPr>
    </w:p>
    <w:p w:rsidR="00990EF3" w:rsidRPr="00990EF3" w:rsidRDefault="00990EF3" w:rsidP="00990EF3">
      <w:pPr>
        <w:pStyle w:val="NoSpacing"/>
      </w:pPr>
    </w:p>
    <w:p w:rsidR="00990EF3" w:rsidRPr="006A4431" w:rsidRDefault="00990EF3" w:rsidP="00990EF3">
      <w:pPr>
        <w:spacing w:after="0" w:line="240" w:lineRule="auto"/>
        <w:ind w:firstLine="284"/>
        <w:jc w:val="both"/>
      </w:pPr>
    </w:p>
    <w:p w:rsidR="00CF258C" w:rsidRDefault="00990EF3" w:rsidP="00990EF3">
      <w:pPr>
        <w:jc w:val="center"/>
        <w:rPr>
          <w:rFonts w:eastAsia="Batang"/>
          <w:b/>
          <w:sz w:val="28"/>
        </w:rPr>
      </w:pPr>
      <w:r w:rsidRPr="001C156E">
        <w:rPr>
          <w:b/>
          <w:bCs/>
          <w:kern w:val="1"/>
          <w:sz w:val="28"/>
        </w:rPr>
        <w:t xml:space="preserve">ПРОГРАММА </w:t>
      </w:r>
      <w:r w:rsidRPr="001C156E">
        <w:rPr>
          <w:rFonts w:eastAsia="Batang"/>
          <w:b/>
          <w:sz w:val="28"/>
        </w:rPr>
        <w:t xml:space="preserve">ВСТУПИТЕЛЬНОГО </w:t>
      </w:r>
      <w:r w:rsidR="00FE4314">
        <w:rPr>
          <w:rFonts w:eastAsia="Batang"/>
          <w:b/>
          <w:sz w:val="28"/>
        </w:rPr>
        <w:t>СОБЕСЕДОВАНИЯ</w:t>
      </w:r>
    </w:p>
    <w:p w:rsidR="00990EF3" w:rsidRDefault="00CF258C" w:rsidP="00990EF3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НА ДОПОЛНИТЕЛЬНУЮ ПРОФЕССИОНАЛЬНУЮ </w:t>
      </w:r>
      <w:r w:rsidR="00007B54">
        <w:rPr>
          <w:rFonts w:eastAsia="Batang"/>
          <w:b/>
          <w:sz w:val="28"/>
        </w:rPr>
        <w:t>ПРОГРАММУ</w:t>
      </w:r>
    </w:p>
    <w:p w:rsidR="00007B54" w:rsidRPr="00007B54" w:rsidRDefault="00007B54" w:rsidP="00007B54">
      <w:pPr>
        <w:pStyle w:val="NoSpacing"/>
        <w:jc w:val="center"/>
        <w:rPr>
          <w:rFonts w:eastAsia="Batang"/>
          <w:b/>
          <w:sz w:val="28"/>
        </w:rPr>
      </w:pPr>
      <w:r w:rsidRPr="00007B54">
        <w:rPr>
          <w:rFonts w:eastAsia="Batang"/>
          <w:b/>
          <w:sz w:val="28"/>
        </w:rPr>
        <w:t>ПРОФЕССИОНАЛЬНОЙ ПЕРЕПОДГОТОВКИ</w:t>
      </w:r>
    </w:p>
    <w:p w:rsidR="00990EF3" w:rsidRDefault="00990EF3" w:rsidP="00990EF3">
      <w:pPr>
        <w:spacing w:after="0" w:line="240" w:lineRule="auto"/>
        <w:ind w:firstLine="284"/>
        <w:jc w:val="center"/>
        <w:rPr>
          <w:sz w:val="28"/>
        </w:rPr>
      </w:pPr>
    </w:p>
    <w:p w:rsidR="0055295B" w:rsidRPr="0055295B" w:rsidRDefault="0055295B" w:rsidP="00007B54">
      <w:pPr>
        <w:jc w:val="center"/>
        <w:rPr>
          <w:b/>
          <w:color w:val="auto"/>
          <w:sz w:val="28"/>
          <w:bdr w:val="none" w:sz="0" w:space="0" w:color="auto"/>
          <w:lang w:val="en-RU" w:eastAsia="ru-RU"/>
        </w:rPr>
      </w:pPr>
      <w:r w:rsidRPr="0055295B">
        <w:rPr>
          <w:b/>
          <w:color w:val="auto"/>
          <w:sz w:val="28"/>
          <w:bdr w:val="none" w:sz="0" w:space="0" w:color="auto"/>
          <w:lang w:val="en-RU" w:eastAsia="ru-RU"/>
        </w:rPr>
        <w:t>«Политическая наука и международные отношения»</w:t>
      </w:r>
    </w:p>
    <w:p w:rsidR="00990EF3" w:rsidRPr="006A4431" w:rsidRDefault="00990EF3" w:rsidP="00990EF3">
      <w:pPr>
        <w:ind w:firstLine="284"/>
        <w:jc w:val="center"/>
      </w:pPr>
    </w:p>
    <w:p w:rsidR="00990EF3" w:rsidRPr="006A4431" w:rsidRDefault="00990EF3" w:rsidP="00990EF3">
      <w:pPr>
        <w:ind w:firstLine="284"/>
        <w:jc w:val="center"/>
      </w:pPr>
    </w:p>
    <w:p w:rsidR="00990EF3" w:rsidRPr="006A4431" w:rsidRDefault="00990EF3" w:rsidP="00990EF3">
      <w:pPr>
        <w:ind w:firstLine="284"/>
        <w:jc w:val="center"/>
      </w:pPr>
    </w:p>
    <w:p w:rsidR="00990EF3" w:rsidRPr="006A4431" w:rsidRDefault="00990EF3" w:rsidP="00990EF3">
      <w:pPr>
        <w:ind w:firstLine="284"/>
        <w:jc w:val="center"/>
      </w:pPr>
    </w:p>
    <w:p w:rsidR="00990EF3" w:rsidRPr="006A4431" w:rsidRDefault="00990EF3" w:rsidP="00990EF3">
      <w:pPr>
        <w:ind w:firstLine="284"/>
        <w:jc w:val="center"/>
      </w:pPr>
    </w:p>
    <w:p w:rsidR="00990EF3" w:rsidRDefault="00990EF3" w:rsidP="00990EF3">
      <w:pPr>
        <w:spacing w:after="0" w:line="240" w:lineRule="auto"/>
        <w:ind w:firstLine="284"/>
        <w:jc w:val="center"/>
        <w:rPr>
          <w:bCs/>
          <w:i/>
          <w:iCs/>
        </w:rPr>
      </w:pPr>
    </w:p>
    <w:p w:rsidR="00990EF3" w:rsidRDefault="00990EF3" w:rsidP="00990EF3">
      <w:pPr>
        <w:pStyle w:val="NoSpacing"/>
      </w:pPr>
    </w:p>
    <w:p w:rsidR="00990EF3" w:rsidRDefault="00990EF3" w:rsidP="00990EF3">
      <w:pPr>
        <w:pStyle w:val="NoSpacing"/>
      </w:pPr>
    </w:p>
    <w:p w:rsidR="00990EF3" w:rsidRDefault="00990EF3" w:rsidP="00990EF3">
      <w:pPr>
        <w:pStyle w:val="NoSpacing"/>
      </w:pPr>
    </w:p>
    <w:p w:rsidR="00007B54" w:rsidRDefault="00007B54" w:rsidP="00990EF3">
      <w:pPr>
        <w:pStyle w:val="NoSpacing"/>
      </w:pPr>
    </w:p>
    <w:p w:rsidR="00007B54" w:rsidRDefault="00007B54" w:rsidP="00990EF3">
      <w:pPr>
        <w:pStyle w:val="NoSpacing"/>
      </w:pPr>
    </w:p>
    <w:p w:rsidR="00007B54" w:rsidRDefault="00007B54" w:rsidP="00990EF3">
      <w:pPr>
        <w:pStyle w:val="NoSpacing"/>
      </w:pPr>
    </w:p>
    <w:p w:rsidR="00007B54" w:rsidRPr="00990EF3" w:rsidRDefault="00007B54" w:rsidP="00990EF3">
      <w:pPr>
        <w:pStyle w:val="NoSpacing"/>
      </w:pPr>
    </w:p>
    <w:p w:rsidR="00990EF3" w:rsidRDefault="00990EF3" w:rsidP="00990EF3">
      <w:pPr>
        <w:spacing w:after="0" w:line="240" w:lineRule="auto"/>
        <w:ind w:firstLine="284"/>
        <w:jc w:val="center"/>
        <w:rPr>
          <w:bCs/>
          <w:i/>
          <w:iCs/>
        </w:rPr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Default="00F9130A" w:rsidP="00F9130A">
      <w:pPr>
        <w:pStyle w:val="NoSpacing"/>
      </w:pPr>
    </w:p>
    <w:p w:rsidR="00F9130A" w:rsidRPr="00F9130A" w:rsidRDefault="00F9130A" w:rsidP="00F9130A">
      <w:pPr>
        <w:pStyle w:val="NoSpacing"/>
      </w:pPr>
    </w:p>
    <w:p w:rsidR="00990EF3" w:rsidRPr="006A4431" w:rsidRDefault="00990EF3" w:rsidP="00990EF3">
      <w:pPr>
        <w:spacing w:after="0" w:line="240" w:lineRule="auto"/>
        <w:rPr>
          <w:bCs/>
          <w:i/>
          <w:iCs/>
        </w:rPr>
      </w:pPr>
    </w:p>
    <w:p w:rsidR="00CB658C" w:rsidRDefault="00CB658C" w:rsidP="006E1201">
      <w:pPr>
        <w:pStyle w:val="ListParagraph"/>
        <w:spacing w:after="0" w:line="288" w:lineRule="auto"/>
        <w:ind w:left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/>
        <w:t>ОГлавление</w:t>
      </w:r>
    </w:p>
    <w:p w:rsidR="006E1201" w:rsidRDefault="006E1201" w:rsidP="006E1201">
      <w:pPr>
        <w:pStyle w:val="ListParagraph"/>
        <w:spacing w:after="0" w:line="288" w:lineRule="auto"/>
        <w:ind w:left="0"/>
        <w:jc w:val="center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ind w:left="0"/>
        <w:jc w:val="center"/>
        <w:rPr>
          <w:b/>
          <w:bCs/>
          <w:caps/>
          <w:sz w:val="22"/>
          <w:szCs w:val="22"/>
        </w:rPr>
      </w:pPr>
    </w:p>
    <w:p w:rsidR="00CB658C" w:rsidRPr="006E1201" w:rsidRDefault="00CB658C" w:rsidP="00CB658C">
      <w:pPr>
        <w:pStyle w:val="ListParagraph"/>
        <w:numPr>
          <w:ilvl w:val="0"/>
          <w:numId w:val="11"/>
        </w:numPr>
        <w:spacing w:after="0" w:line="288" w:lineRule="auto"/>
        <w:rPr>
          <w:bCs/>
          <w:caps/>
        </w:rPr>
      </w:pPr>
      <w:r w:rsidRPr="006E1201">
        <w:rPr>
          <w:bCs/>
          <w:caps/>
        </w:rPr>
        <w:t>Основные условия конкурсного отбора</w:t>
      </w:r>
      <w:r w:rsidR="00F9130A">
        <w:rPr>
          <w:bCs/>
          <w:caps/>
        </w:rPr>
        <w:t xml:space="preserve"> </w:t>
      </w:r>
      <w:r w:rsidR="00AB1A77">
        <w:rPr>
          <w:bCs/>
          <w:caps/>
        </w:rPr>
        <w:t>ПОСТУПАЮЩИХ</w:t>
      </w:r>
    </w:p>
    <w:p w:rsidR="00F9130A" w:rsidRDefault="00CB658C" w:rsidP="004E4608">
      <w:pPr>
        <w:pStyle w:val="ListParagraph"/>
        <w:numPr>
          <w:ilvl w:val="0"/>
          <w:numId w:val="11"/>
        </w:numPr>
        <w:spacing w:after="0" w:line="288" w:lineRule="auto"/>
        <w:rPr>
          <w:bCs/>
          <w:caps/>
        </w:rPr>
      </w:pPr>
      <w:r w:rsidRPr="00F9130A">
        <w:rPr>
          <w:bCs/>
          <w:caps/>
        </w:rPr>
        <w:t xml:space="preserve">Вопросы вступительного </w:t>
      </w:r>
      <w:r w:rsidR="0037501D">
        <w:rPr>
          <w:bCs/>
          <w:caps/>
        </w:rPr>
        <w:t>СОБЕСЕДОВАНИЯ</w:t>
      </w:r>
      <w:r w:rsidRPr="00F9130A">
        <w:rPr>
          <w:bCs/>
          <w:caps/>
        </w:rPr>
        <w:t xml:space="preserve"> по специальности</w:t>
      </w:r>
    </w:p>
    <w:p w:rsidR="006E1201" w:rsidRPr="00F9130A" w:rsidRDefault="00CB658C" w:rsidP="004E4608">
      <w:pPr>
        <w:pStyle w:val="ListParagraph"/>
        <w:numPr>
          <w:ilvl w:val="0"/>
          <w:numId w:val="11"/>
        </w:numPr>
        <w:spacing w:after="0" w:line="288" w:lineRule="auto"/>
        <w:rPr>
          <w:bCs/>
          <w:caps/>
        </w:rPr>
      </w:pPr>
      <w:r w:rsidRPr="00F9130A">
        <w:rPr>
          <w:bCs/>
          <w:caps/>
        </w:rPr>
        <w:t>Литература</w:t>
      </w:r>
    </w:p>
    <w:p w:rsidR="006E1201" w:rsidRPr="006E1201" w:rsidRDefault="006E1201" w:rsidP="00CB658C">
      <w:pPr>
        <w:pStyle w:val="ListParagraph"/>
        <w:numPr>
          <w:ilvl w:val="0"/>
          <w:numId w:val="11"/>
        </w:numPr>
        <w:spacing w:after="0" w:line="288" w:lineRule="auto"/>
        <w:rPr>
          <w:bCs/>
          <w:caps/>
        </w:rPr>
      </w:pPr>
      <w:r w:rsidRPr="006E1201">
        <w:rPr>
          <w:bCs/>
          <w:caps/>
        </w:rPr>
        <w:t xml:space="preserve">ПРиложение 1. Критерии оценки знаний </w:t>
      </w:r>
      <w:r w:rsidR="0055295B">
        <w:rPr>
          <w:bCs/>
          <w:caps/>
        </w:rPr>
        <w:t>ПОСТУПАЮЩИХ</w:t>
      </w:r>
    </w:p>
    <w:p w:rsidR="006E1201" w:rsidRDefault="00CB658C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br/>
      </w: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Pr="00F9130A" w:rsidRDefault="006E1201" w:rsidP="00F9130A">
      <w:pPr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E1201" w:rsidRDefault="006E1201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FE4314" w:rsidRDefault="00FE4314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FE4314" w:rsidRDefault="00FE4314" w:rsidP="006E1201">
      <w:pPr>
        <w:pStyle w:val="ListParagraph"/>
        <w:spacing w:after="0" w:line="288" w:lineRule="auto"/>
        <w:rPr>
          <w:b/>
          <w:bCs/>
          <w:caps/>
          <w:sz w:val="22"/>
          <w:szCs w:val="22"/>
        </w:rPr>
      </w:pPr>
    </w:p>
    <w:p w:rsidR="00684F87" w:rsidRDefault="00454C1E" w:rsidP="006E1201">
      <w:pPr>
        <w:pStyle w:val="ListParagraph"/>
        <w:spacing w:after="0" w:line="288" w:lineRule="auto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1. Основные условия конкурсного отбора </w:t>
      </w:r>
      <w:r w:rsidR="0055295B">
        <w:rPr>
          <w:b/>
          <w:bCs/>
          <w:caps/>
          <w:sz w:val="22"/>
          <w:szCs w:val="22"/>
        </w:rPr>
        <w:t>ПОСТУПАЮЩИХ</w:t>
      </w:r>
    </w:p>
    <w:p w:rsidR="00684F87" w:rsidRDefault="00684F87">
      <w:pPr>
        <w:spacing w:after="0" w:line="288" w:lineRule="auto"/>
        <w:ind w:firstLine="720"/>
        <w:jc w:val="both"/>
      </w:pPr>
    </w:p>
    <w:p w:rsidR="00684F87" w:rsidRDefault="00454C1E" w:rsidP="00FE4314">
      <w:pPr>
        <w:spacing w:after="0" w:line="288" w:lineRule="auto"/>
        <w:ind w:firstLine="720"/>
        <w:jc w:val="both"/>
      </w:pPr>
      <w:r>
        <w:t xml:space="preserve">Настоящая программа рассчитана на подготовку к вступительному </w:t>
      </w:r>
      <w:r w:rsidR="00323706">
        <w:t>собеседованию</w:t>
      </w:r>
      <w:r>
        <w:t xml:space="preserve"> </w:t>
      </w:r>
      <w:r w:rsidR="00FE4314">
        <w:t xml:space="preserve">на дополнительную профессиональную программу профессиональной переподготовки </w:t>
      </w:r>
      <w:r>
        <w:t>«</w:t>
      </w:r>
      <w:r w:rsidR="00247E92" w:rsidRPr="00247E92">
        <w:t>Политическая наука и международные отношения</w:t>
      </w:r>
      <w:r>
        <w:t>».</w:t>
      </w:r>
    </w:p>
    <w:p w:rsidR="00684F87" w:rsidRDefault="00454C1E">
      <w:pPr>
        <w:spacing w:after="0" w:line="288" w:lineRule="auto"/>
        <w:ind w:firstLine="720"/>
        <w:jc w:val="both"/>
      </w:pPr>
      <w:r>
        <w:t>К конкурсному отбору для поступления допускаются лица, имеющие высшее образование любого уровня. Прием на программу «</w:t>
      </w:r>
      <w:r w:rsidR="00247E92" w:rsidRPr="00247E92">
        <w:t>Политическая наука и международные отношения</w:t>
      </w:r>
      <w:r>
        <w:t xml:space="preserve">» осуществляется на конкурсной основе по итогам вступительных испытаний. </w:t>
      </w:r>
    </w:p>
    <w:p w:rsidR="00684F87" w:rsidRDefault="00684F87">
      <w:pPr>
        <w:spacing w:after="0" w:line="288" w:lineRule="auto"/>
        <w:ind w:firstLine="720"/>
      </w:pPr>
    </w:p>
    <w:p w:rsidR="00684F87" w:rsidRDefault="0055295B">
      <w:pPr>
        <w:spacing w:after="0" w:line="288" w:lineRule="auto"/>
        <w:ind w:firstLine="720"/>
      </w:pPr>
      <w:r>
        <w:t>Поступающие</w:t>
      </w:r>
      <w:r w:rsidR="00454C1E">
        <w:t xml:space="preserve"> сдают следующие вступительные испытания: </w:t>
      </w:r>
    </w:p>
    <w:p w:rsidR="00684F87" w:rsidRDefault="00684F87">
      <w:pPr>
        <w:pStyle w:val="NoSpacing"/>
        <w:spacing w:line="288" w:lineRule="auto"/>
      </w:pPr>
    </w:p>
    <w:p w:rsidR="00684F87" w:rsidRDefault="00454C1E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 xml:space="preserve">Тестирование по английскому языку в письменной форме, которое оценивается по 100-балльной шкале. Итоговая оценка за тестирование по английскому языку выставляется в соответствии с числом правильных ответов по 100-балльной шкале (соответствующей шкале IELTS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от 0 до 9.0). Балл за экзамен по английскому языку не включается в сумму баллов, набранных </w:t>
      </w:r>
      <w:r w:rsidR="0055295B">
        <w:t>поступающим</w:t>
      </w:r>
      <w:r>
        <w:t xml:space="preserve">, и не влияет на формирование итогового конкурсного рейтинга </w:t>
      </w:r>
      <w:r w:rsidR="0055295B">
        <w:t>поступающих</w:t>
      </w:r>
      <w:r>
        <w:t xml:space="preserve">. По итогам экзамена по английскому языку </w:t>
      </w:r>
      <w:r w:rsidR="0055295B">
        <w:t>поступающий</w:t>
      </w:r>
      <w:r>
        <w:t xml:space="preserve"> получает «зачет» или «незачет». Для получения «зачета» </w:t>
      </w:r>
      <w:r w:rsidR="0055295B">
        <w:t>поступающем</w:t>
      </w:r>
      <w:r>
        <w:t xml:space="preserve">у необходимо набрать не менее 40 баллов из 100. В случае получения «незачета» </w:t>
      </w:r>
      <w:r w:rsidR="0055295B">
        <w:t>поступающий</w:t>
      </w:r>
      <w:r>
        <w:t xml:space="preserve"> выбывает из итогового рейтинга. </w:t>
      </w:r>
    </w:p>
    <w:p w:rsidR="00684F87" w:rsidRDefault="00323706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>Собеседование</w:t>
      </w:r>
      <w:r w:rsidR="00454C1E">
        <w:t xml:space="preserve"> по специальности в </w:t>
      </w:r>
      <w:r w:rsidR="00FE4314">
        <w:t xml:space="preserve">устной </w:t>
      </w:r>
      <w:r w:rsidR="00454C1E">
        <w:t>форме проводится с целью определения уровня знаний по профилю выбранного направления с оценкой по 100-балльной шкале в соответствии с разработанными критериями оценки. Минимальный проходной балл – 50 баллов.</w:t>
      </w:r>
    </w:p>
    <w:p w:rsidR="00684F87" w:rsidRDefault="00684F87">
      <w:pPr>
        <w:spacing w:after="0" w:line="288" w:lineRule="auto"/>
        <w:ind w:firstLine="720"/>
        <w:jc w:val="both"/>
      </w:pPr>
    </w:p>
    <w:p w:rsidR="00684F87" w:rsidRDefault="00454C1E" w:rsidP="006E1201">
      <w:pPr>
        <w:spacing w:after="0" w:line="288" w:lineRule="auto"/>
        <w:ind w:firstLine="720"/>
        <w:jc w:val="both"/>
      </w:pPr>
      <w:r>
        <w:t xml:space="preserve">Настоящая программа содержит перечень вопросов вступительного </w:t>
      </w:r>
      <w:r w:rsidR="00FE4314">
        <w:t>собеседования</w:t>
      </w:r>
      <w:r>
        <w:t xml:space="preserve"> по специальности, состоящий из двух разделов. </w:t>
      </w:r>
      <w:r w:rsidR="0055295B">
        <w:t xml:space="preserve">Поступающий </w:t>
      </w:r>
      <w:r>
        <w:t xml:space="preserve">отвечает на один вопрос из каждого раздела. В программе указана рекомендуемая литература для подготовки к </w:t>
      </w:r>
      <w:r w:rsidR="00323706">
        <w:t>собеседованию</w:t>
      </w:r>
      <w:r>
        <w:t>.</w:t>
      </w:r>
    </w:p>
    <w:p w:rsidR="00684F87" w:rsidRDefault="00454C1E">
      <w:pPr>
        <w:spacing w:after="0" w:line="288" w:lineRule="auto"/>
        <w:ind w:firstLine="720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:rsidR="00684F87" w:rsidRDefault="00684F87">
      <w:pPr>
        <w:pStyle w:val="NoSpacing"/>
      </w:pPr>
    </w:p>
    <w:p w:rsidR="00684F87" w:rsidRDefault="00454C1E" w:rsidP="006E1201">
      <w:pPr>
        <w:spacing w:after="0" w:line="288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</w:rPr>
        <w:t xml:space="preserve">2. Вопросы вступительного </w:t>
      </w:r>
      <w:r w:rsidR="00323706">
        <w:rPr>
          <w:b/>
          <w:bCs/>
          <w:caps/>
        </w:rPr>
        <w:t>СОБЕСЕДОВАНИЯ</w:t>
      </w:r>
      <w:r>
        <w:rPr>
          <w:b/>
          <w:bCs/>
          <w:caps/>
        </w:rPr>
        <w:t xml:space="preserve"> по специальности</w:t>
      </w:r>
    </w:p>
    <w:p w:rsidR="00684F87" w:rsidRDefault="00684F87">
      <w:pPr>
        <w:pStyle w:val="NoSpacing"/>
        <w:rPr>
          <w:b/>
          <w:bCs/>
          <w:sz w:val="32"/>
          <w:szCs w:val="32"/>
        </w:rPr>
      </w:pPr>
    </w:p>
    <w:p w:rsidR="00684F87" w:rsidRDefault="00454C1E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Теория международных отношений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Политика между греческими полисами в описании Фукидида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Н. Макиавелли о внешней политике государств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 xml:space="preserve">Концепция «права на ведение войны» Г. </w:t>
      </w:r>
      <w:proofErr w:type="spellStart"/>
      <w:r>
        <w:t>Гроция</w:t>
      </w:r>
      <w:proofErr w:type="spellEnd"/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Концепция войны всех против всех Т. Гоббса и международные отношения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И. Кант и основы идеалистического подхода к международным отношениям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 xml:space="preserve">Международно-политическое измерение концепции А. Смита 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 xml:space="preserve">Концепция войны у К. </w:t>
      </w:r>
      <w:proofErr w:type="spellStart"/>
      <w:r>
        <w:t>Клаузевица</w:t>
      </w:r>
      <w:proofErr w:type="spellEnd"/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Основы описания природы международных отношений и колониализма у К. Маркса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Ленинская концепция империализма и ее критика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 xml:space="preserve">Принципы Г. </w:t>
      </w:r>
      <w:proofErr w:type="spellStart"/>
      <w:r>
        <w:t>Моргентау</w:t>
      </w:r>
      <w:proofErr w:type="spellEnd"/>
      <w:r>
        <w:t xml:space="preserve"> и классический реализм в теории международных отношений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 xml:space="preserve">И. </w:t>
      </w:r>
      <w:proofErr w:type="spellStart"/>
      <w:r>
        <w:t>Валлерстайн</w:t>
      </w:r>
      <w:proofErr w:type="spellEnd"/>
      <w:r>
        <w:t xml:space="preserve"> и мир-системный подход к международной политике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Концепция «конца истории» Ф. Фукуямы и ее критика</w:t>
      </w:r>
    </w:p>
    <w:p w:rsidR="00684F87" w:rsidRDefault="00454C1E">
      <w:pPr>
        <w:pStyle w:val="ListParagraph"/>
        <w:numPr>
          <w:ilvl w:val="0"/>
          <w:numId w:val="4"/>
        </w:numPr>
        <w:spacing w:after="0" w:line="288" w:lineRule="auto"/>
        <w:jc w:val="both"/>
      </w:pPr>
      <w:r>
        <w:t>Концепция «мягкой силы» в работах либералов и реалистов</w:t>
      </w:r>
    </w:p>
    <w:p w:rsidR="00684F87" w:rsidRDefault="00684F87">
      <w:pPr>
        <w:spacing w:after="0" w:line="288" w:lineRule="auto"/>
        <w:jc w:val="center"/>
        <w:rPr>
          <w:b/>
          <w:bCs/>
        </w:rPr>
      </w:pPr>
    </w:p>
    <w:p w:rsidR="00684F87" w:rsidRDefault="00454C1E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История международных отношений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Вестфальский мир 1649 г. и Вестфальская система в Европе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 xml:space="preserve">Венский конгресс 1815 г. и Венская система </w:t>
      </w:r>
      <w:r>
        <w:rPr>
          <w:lang w:val="en-US"/>
        </w:rPr>
        <w:t>XIX</w:t>
      </w:r>
      <w:r>
        <w:t xml:space="preserve"> в. в Европе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 xml:space="preserve">Русско-европейские отношения второй половины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века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Версальский мир 1919 г. и Версальско-Вашингтонская система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proofErr w:type="spellStart"/>
      <w:r>
        <w:t>Бреттон-Вудские</w:t>
      </w:r>
      <w:proofErr w:type="spellEnd"/>
      <w:r>
        <w:t xml:space="preserve"> соглашения и </w:t>
      </w:r>
      <w:proofErr w:type="spellStart"/>
      <w:r>
        <w:t>Бреттон-Вудская</w:t>
      </w:r>
      <w:proofErr w:type="spellEnd"/>
      <w:r>
        <w:t xml:space="preserve"> система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 xml:space="preserve">Окончание второй мировой и </w:t>
      </w:r>
      <w:proofErr w:type="spellStart"/>
      <w:r>
        <w:t>Ялтинско</w:t>
      </w:r>
      <w:proofErr w:type="spellEnd"/>
      <w:r>
        <w:t>-Потсдамская система мировой политики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Образование и Устав Организации Объединенных Наций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Начало холодной войны между СССР и США. Региональные конфликты и формирование противоборствующих блоков. 1945-1955.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Движение неприсоединения: концепция, история создания и деятельность.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Кризисы и периоды разрядки в советско-американских отношениях 1950-1980-х годов.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 xml:space="preserve">Европейская интеграция 2-й половины </w:t>
      </w:r>
      <w:r>
        <w:rPr>
          <w:lang w:val="en-US"/>
        </w:rPr>
        <w:t>XX</w:t>
      </w:r>
      <w:r>
        <w:t xml:space="preserve"> века и Европейский Союз. 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Заключительный акт совещания по безопасности сотрудничеству в Европе 1975 года, его содержание и значение для системы международных отношений.</w:t>
      </w:r>
    </w:p>
    <w:p w:rsidR="00684F87" w:rsidRDefault="00454C1E">
      <w:pPr>
        <w:pStyle w:val="ListParagraph"/>
        <w:numPr>
          <w:ilvl w:val="0"/>
          <w:numId w:val="6"/>
        </w:numPr>
        <w:spacing w:after="0" w:line="288" w:lineRule="auto"/>
        <w:jc w:val="both"/>
      </w:pPr>
      <w:r>
        <w:t>Окончание холодной войны и международные конфликты 1</w:t>
      </w:r>
      <w:r w:rsidR="00927D6A">
        <w:t>9</w:t>
      </w:r>
      <w:r>
        <w:t xml:space="preserve">80-х – 1990- х годов. </w:t>
      </w:r>
    </w:p>
    <w:p w:rsidR="00684F87" w:rsidRDefault="00454C1E">
      <w:pPr>
        <w:spacing w:after="0"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684F87" w:rsidRDefault="00684F87">
      <w:pPr>
        <w:pStyle w:val="NoSpacing"/>
      </w:pPr>
    </w:p>
    <w:p w:rsidR="00684F87" w:rsidRDefault="00454C1E" w:rsidP="006E1201">
      <w:pPr>
        <w:spacing w:after="0" w:line="288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</w:rPr>
        <w:t>3. Литература</w:t>
      </w:r>
    </w:p>
    <w:p w:rsidR="00684F87" w:rsidRDefault="00684F87">
      <w:pPr>
        <w:pStyle w:val="NoSpacing"/>
        <w:rPr>
          <w:b/>
          <w:bCs/>
          <w:sz w:val="32"/>
          <w:szCs w:val="32"/>
        </w:rPr>
      </w:pPr>
    </w:p>
    <w:p w:rsidR="00684F87" w:rsidRDefault="00454C1E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Основная литература:</w:t>
      </w:r>
    </w:p>
    <w:p w:rsidR="00684F87" w:rsidRDefault="00454C1E">
      <w:pPr>
        <w:pStyle w:val="ListParagraph"/>
        <w:numPr>
          <w:ilvl w:val="0"/>
          <w:numId w:val="8"/>
        </w:numPr>
        <w:spacing w:after="0" w:line="288" w:lineRule="auto"/>
        <w:jc w:val="both"/>
      </w:pPr>
      <w:proofErr w:type="spellStart"/>
      <w:r>
        <w:t>Богатуров</w:t>
      </w:r>
      <w:proofErr w:type="spellEnd"/>
      <w:r>
        <w:t>, А.Д., Аверков, В.И. История международных отношений. 1945-2008: учебное пособие для студентов вузов. – Москва: Аспект Пресс, 2012.</w:t>
      </w:r>
    </w:p>
    <w:p w:rsidR="00684F87" w:rsidRDefault="00454C1E">
      <w:pPr>
        <w:pStyle w:val="ListParagraph"/>
        <w:numPr>
          <w:ilvl w:val="0"/>
          <w:numId w:val="8"/>
        </w:numPr>
        <w:spacing w:after="0" w:line="288" w:lineRule="auto"/>
        <w:jc w:val="both"/>
      </w:pPr>
      <w:r>
        <w:t xml:space="preserve">История международных отношений: в 3-х т.: учебник / Под ред. А.В. </w:t>
      </w:r>
      <w:proofErr w:type="spellStart"/>
      <w:r>
        <w:t>Торкунова</w:t>
      </w:r>
      <w:proofErr w:type="spellEnd"/>
      <w:r>
        <w:t xml:space="preserve">, М.М. </w:t>
      </w:r>
      <w:proofErr w:type="spellStart"/>
      <w:r>
        <w:t>Наринского</w:t>
      </w:r>
      <w:proofErr w:type="spellEnd"/>
      <w:r>
        <w:t>. М.: Аспект-Пресс, 2015.</w:t>
      </w:r>
    </w:p>
    <w:p w:rsidR="00684F87" w:rsidRDefault="00454C1E">
      <w:pPr>
        <w:pStyle w:val="ListParagraph"/>
        <w:numPr>
          <w:ilvl w:val="0"/>
          <w:numId w:val="8"/>
        </w:numPr>
        <w:spacing w:after="0" w:line="288" w:lineRule="auto"/>
        <w:jc w:val="both"/>
      </w:pPr>
      <w:r>
        <w:t>Лебедева, М.М. Мировая политика: учебник. М.: КНОРУС, 2016.</w:t>
      </w:r>
    </w:p>
    <w:p w:rsidR="00684F87" w:rsidRDefault="00684F87">
      <w:pPr>
        <w:spacing w:after="0" w:line="288" w:lineRule="auto"/>
      </w:pPr>
    </w:p>
    <w:p w:rsidR="00684F87" w:rsidRDefault="00454C1E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Дополнительная литература: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Валлерстайн</w:t>
      </w:r>
      <w:proofErr w:type="spellEnd"/>
      <w:r>
        <w:t xml:space="preserve">, И. </w:t>
      </w:r>
      <w:proofErr w:type="spellStart"/>
      <w:r>
        <w:t>Миросистемный</w:t>
      </w:r>
      <w:proofErr w:type="spellEnd"/>
      <w:r>
        <w:t xml:space="preserve"> анализ: введение. М.: Территория будущего, 2006.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 xml:space="preserve">Гоббс, Т. Левиафан. М.: Мысль, 2001. 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Гроций</w:t>
      </w:r>
      <w:proofErr w:type="spellEnd"/>
      <w:r>
        <w:t xml:space="preserve">, Г. О праве войны и мира. М.: </w:t>
      </w:r>
      <w:proofErr w:type="spellStart"/>
      <w:r>
        <w:t>Ладомир</w:t>
      </w:r>
      <w:proofErr w:type="spellEnd"/>
      <w:r>
        <w:t>, 1994.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История дипломатии. / Под ред. В.П. Потемкина. М.; Л.: ОГИЗ, 1941-1945. Т. 1-3.</w:t>
      </w:r>
    </w:p>
    <w:p w:rsidR="00684F87" w:rsidRDefault="00454C1E">
      <w:pPr>
        <w:pStyle w:val="ListParagraph"/>
        <w:numPr>
          <w:ilvl w:val="0"/>
          <w:numId w:val="10"/>
        </w:numPr>
        <w:spacing w:line="288" w:lineRule="auto"/>
        <w:jc w:val="both"/>
      </w:pPr>
      <w:r>
        <w:t xml:space="preserve">Кант, И. К вечному миру. Философский проект. / Пер. А.В. </w:t>
      </w:r>
      <w:proofErr w:type="spellStart"/>
      <w:r>
        <w:t>Гулыги</w:t>
      </w:r>
      <w:proofErr w:type="spellEnd"/>
      <w:r>
        <w:t>. // Кант И. Собрание сочинений. М.: Мысль, 1994. Т.7. С. 5-56.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Клаузевиц</w:t>
      </w:r>
      <w:proofErr w:type="spellEnd"/>
      <w:r>
        <w:t>, К. О войне. М.: ЭКСМО, 2003.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Ленин, В.И. Империализм как высшая стадия капитализма // Ленин, В.И.  Полное собрание сочинений. М: Политиздат, 1967. Т. 5. С. 299–426.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Макиавелли, Н. Рассуждения о первой декаде Тита Ливия. М.: РОСПЭН, 2002.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 xml:space="preserve">Мак-Нил, У. В погоне за мощью. Технология, вооруженная сила и общество в </w:t>
      </w:r>
      <w:r>
        <w:rPr>
          <w:lang w:val="en-US"/>
        </w:rPr>
        <w:t>XI</w:t>
      </w:r>
      <w:r>
        <w:t>-</w:t>
      </w:r>
      <w:r>
        <w:rPr>
          <w:lang w:val="en-US"/>
        </w:rPr>
        <w:t>XX</w:t>
      </w:r>
      <w:r>
        <w:t xml:space="preserve"> веках. М.: Территория будущего, 2008. 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 xml:space="preserve">Маркс, К. Британское владычество в Индии. // Маркс, К., Энгельс, Ф. Сочинения. М: </w:t>
      </w:r>
      <w:proofErr w:type="spellStart"/>
      <w:r>
        <w:t>Госполитиздат</w:t>
      </w:r>
      <w:proofErr w:type="spellEnd"/>
      <w:r>
        <w:t>, 1957. Т.9. С. 130–136.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 xml:space="preserve">Маркс, К. Разоблачения дипломатической истории XVIII века. // Библиотека журнала Скепсис, </w:t>
      </w:r>
      <w:r>
        <w:rPr>
          <w:lang w:val="en-US"/>
        </w:rPr>
        <w:t>URL</w:t>
      </w:r>
      <w:r>
        <w:t xml:space="preserve">: </w:t>
      </w:r>
      <w:hyperlink r:id="rId7" w:history="1">
        <w:r>
          <w:rPr>
            <w:rStyle w:val="Hyperlink0"/>
          </w:rPr>
          <w:t>http://scepsis.net/library/id_878.html</w:t>
        </w:r>
      </w:hyperlink>
      <w:r>
        <w:t xml:space="preserve"> 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Миршаймер</w:t>
      </w:r>
      <w:proofErr w:type="spellEnd"/>
      <w:r>
        <w:t>, Дж. Почему мы скоро будем тосковать по холодной войне. // Россия в глобальной политике. 2008. № 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Моргентау</w:t>
      </w:r>
      <w:proofErr w:type="spellEnd"/>
      <w:r>
        <w:t>, Г. К вопросу о внешней политике США во время второй мировой войны. М.: Наука, 1966.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Най</w:t>
      </w:r>
      <w:proofErr w:type="spellEnd"/>
      <w:r>
        <w:t>, Дж. Будущее власти: (как стратегия умной силы меняет XXI век). М.: АСТ, 2014.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t>Нольфо</w:t>
      </w:r>
      <w:proofErr w:type="spellEnd"/>
      <w:r>
        <w:t>, Э. История международных отношений (1918-1999): в 2-х т. М.: Логос, 2003.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 xml:space="preserve">Смит, А. Исследование о природе и причинах богатства народов. </w:t>
      </w:r>
      <w:r>
        <w:rPr>
          <w:lang w:val="en-US"/>
        </w:rPr>
        <w:t xml:space="preserve">Inquiry into the Nature and Causes of the Wealth of Nations. </w:t>
      </w:r>
      <w:r>
        <w:t xml:space="preserve">М.: ЭКСМО, 2007. Кн. </w:t>
      </w:r>
      <w:r>
        <w:rPr>
          <w:lang w:val="en-US"/>
        </w:rPr>
        <w:t xml:space="preserve">IV, </w:t>
      </w:r>
      <w:r>
        <w:t xml:space="preserve">Гл. </w:t>
      </w:r>
      <w:r>
        <w:rPr>
          <w:lang w:val="en-US"/>
        </w:rPr>
        <w:t>VII.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Тешке, Б. Миф о 1648 годе: класс, геополитика и создание современных международных отношений. М.: ИД ГУ-ВШЭ, 2011.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Фукидид. История. М.: Академический проект, 2012.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r>
        <w:t>Фукуяма, Ф. Конец истории и последний человек. М.: АСТ, 2015.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</w:pPr>
      <w:proofErr w:type="spellStart"/>
      <w:r>
        <w:lastRenderedPageBreak/>
        <w:t>Хобсбаум</w:t>
      </w:r>
      <w:proofErr w:type="spellEnd"/>
      <w:r>
        <w:t xml:space="preserve">, Э. Эпоха крайностей. Короткий двадцатый век. 1914-1991. М: Независимая газета, 2004. 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lang w:val="en-US"/>
        </w:rPr>
      </w:pPr>
      <w:r>
        <w:rPr>
          <w:lang w:val="en-US"/>
        </w:rPr>
        <w:t xml:space="preserve">Carr, E.H. The twenty years’ crisis, 1919-1939: an introduction to the study of international relations. New York: Palgrave Macmillan, 2001.  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lang w:val="en-US"/>
        </w:rPr>
      </w:pPr>
      <w:r>
        <w:rPr>
          <w:lang w:val="en-US"/>
        </w:rPr>
        <w:t>Morgenthau, H. Politics among nations: the struggle for power and peace. New York: McGraw – Hill Higher Education, 2006. Pp. 3-26.</w:t>
      </w:r>
    </w:p>
    <w:p w:rsidR="00684F87" w:rsidRDefault="00454C1E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lang w:val="en-US"/>
        </w:rPr>
      </w:pPr>
      <w:r>
        <w:rPr>
          <w:lang w:val="en-US"/>
        </w:rPr>
        <w:t xml:space="preserve">Waltz, K. Theory of international politics. New York: McGraw – Hill, 1979. Pp. 194-210. </w:t>
      </w:r>
    </w:p>
    <w:p w:rsidR="00684F87" w:rsidRDefault="00684F87">
      <w:pPr>
        <w:spacing w:after="0" w:line="288" w:lineRule="auto"/>
        <w:jc w:val="both"/>
        <w:rPr>
          <w:lang w:val="en-US"/>
        </w:rPr>
      </w:pPr>
    </w:p>
    <w:p w:rsidR="00684F87" w:rsidRPr="00CB658C" w:rsidRDefault="00454C1E">
      <w:pPr>
        <w:spacing w:line="288" w:lineRule="auto"/>
        <w:rPr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br w:type="page"/>
      </w:r>
    </w:p>
    <w:p w:rsidR="00684F87" w:rsidRDefault="00454C1E">
      <w:pPr>
        <w:pStyle w:val="NoSpacing"/>
        <w:spacing w:line="288" w:lineRule="auto"/>
        <w:rPr>
          <w:b/>
          <w:bCs/>
          <w:caps/>
          <w:sz w:val="32"/>
          <w:szCs w:val="32"/>
        </w:rPr>
      </w:pPr>
      <w:r>
        <w:rPr>
          <w:b/>
          <w:bCs/>
          <w:caps/>
        </w:rPr>
        <w:lastRenderedPageBreak/>
        <w:t xml:space="preserve">Приложение 1. Критерии оценки знаний </w:t>
      </w:r>
      <w:r w:rsidR="0055295B">
        <w:rPr>
          <w:b/>
          <w:bCs/>
          <w:caps/>
        </w:rPr>
        <w:t>ПОСТУПАЮЩИХ</w:t>
      </w:r>
    </w:p>
    <w:p w:rsidR="00684F87" w:rsidRDefault="00684F87">
      <w:pPr>
        <w:pStyle w:val="NoSpacing"/>
        <w:spacing w:line="288" w:lineRule="auto"/>
      </w:pPr>
    </w:p>
    <w:p w:rsidR="00684F87" w:rsidRDefault="00454C1E">
      <w:pPr>
        <w:pStyle w:val="NoSpacing"/>
        <w:spacing w:line="288" w:lineRule="auto"/>
        <w:jc w:val="both"/>
      </w:pPr>
      <w:r>
        <w:t xml:space="preserve">Для повышения эффективности и объективности оценивания знаний </w:t>
      </w:r>
      <w:r w:rsidR="0055295B">
        <w:t>поступающих</w:t>
      </w:r>
      <w:r>
        <w:t xml:space="preserve"> на вступительных испытаниях на программе </w:t>
      </w:r>
      <w:r w:rsidR="00247E92">
        <w:t>«</w:t>
      </w:r>
      <w:r w:rsidR="00247E92" w:rsidRPr="00247E92">
        <w:t>Политическая наука и международные отношения</w:t>
      </w:r>
      <w:r>
        <w:t>» оценка знаний производится с использованием 100-балльной шкалы.</w:t>
      </w:r>
    </w:p>
    <w:p w:rsidR="00684F87" w:rsidRDefault="00684F87">
      <w:pPr>
        <w:pStyle w:val="NoSpacing"/>
        <w:spacing w:line="288" w:lineRule="auto"/>
        <w:jc w:val="both"/>
      </w:pPr>
    </w:p>
    <w:tbl>
      <w:tblPr>
        <w:tblStyle w:val="TableNormal1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7274"/>
      </w:tblGrid>
      <w:tr w:rsidR="00684F87">
        <w:trPr>
          <w:trHeight w:val="7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 w:rsidP="00E96EBD">
            <w:pPr>
              <w:pStyle w:val="NoSpacing"/>
              <w:spacing w:line="360" w:lineRule="auto"/>
              <w:jc w:val="both"/>
            </w:pPr>
            <w:r>
              <w:rPr>
                <w:b/>
                <w:bCs/>
              </w:rPr>
              <w:t>Баллы оценивания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center"/>
            </w:pPr>
            <w:r>
              <w:rPr>
                <w:b/>
                <w:bCs/>
              </w:rPr>
              <w:t>Описание критериев оценивания</w:t>
            </w:r>
          </w:p>
        </w:tc>
      </w:tr>
      <w:tr w:rsidR="00684F87">
        <w:trPr>
          <w:trHeight w:val="20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 w:rsidP="00E81DA4">
            <w:pPr>
              <w:pStyle w:val="NoSpacing"/>
              <w:spacing w:line="360" w:lineRule="auto"/>
              <w:jc w:val="center"/>
            </w:pPr>
            <w:r>
              <w:t>70-100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55295B">
            <w:pPr>
              <w:pStyle w:val="NoSpacing"/>
              <w:spacing w:line="360" w:lineRule="auto"/>
              <w:jc w:val="both"/>
            </w:pPr>
            <w:r>
              <w:t>Поступающий</w:t>
            </w:r>
            <w:r w:rsidR="00454C1E">
              <w:t xml:space="preserve"> показывает всестороннее, глубокое и систематическое знание учебного материала. Ответ сформулирован предельно точно, его изложение выстроено последовательно и логично, содержит исчерпывающее содержание и опирается на корректное использование специальной терминологии.  </w:t>
            </w:r>
          </w:p>
        </w:tc>
      </w:tr>
      <w:tr w:rsidR="00684F87">
        <w:trPr>
          <w:trHeight w:val="11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 w:rsidP="00E81DA4">
            <w:pPr>
              <w:pStyle w:val="NoSpacing"/>
              <w:spacing w:line="360" w:lineRule="auto"/>
              <w:jc w:val="center"/>
            </w:pPr>
            <w:r>
              <w:t>60-69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55295B">
            <w:pPr>
              <w:pStyle w:val="NoSpacing"/>
              <w:spacing w:line="360" w:lineRule="auto"/>
              <w:jc w:val="both"/>
            </w:pPr>
            <w:r>
              <w:t xml:space="preserve">Поступающий </w:t>
            </w:r>
            <w:r w:rsidR="00454C1E">
              <w:t xml:space="preserve">демонстрирует знание учебного материала, владеет понятийным аппаратом и владеет дополнительной литературой по теме. При ответе допущены несущественные ошибки и неточности. </w:t>
            </w:r>
          </w:p>
        </w:tc>
      </w:tr>
      <w:tr w:rsidR="00684F87">
        <w:trPr>
          <w:trHeight w:val="20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 w:rsidP="00E81DA4">
            <w:pPr>
              <w:pStyle w:val="NoSpacing"/>
              <w:spacing w:line="360" w:lineRule="auto"/>
              <w:jc w:val="center"/>
            </w:pPr>
            <w:r>
              <w:t>50-59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both"/>
            </w:pPr>
            <w:r>
              <w:t xml:space="preserve">При ответе на вопрос допущены неточности в изложении материала, </w:t>
            </w:r>
            <w:r w:rsidR="0055295B">
              <w:t>поступающий</w:t>
            </w:r>
            <w:r>
              <w:t xml:space="preserve"> демонстрирует трудности в соотнесении теоретических и исторических знаний, тем не менее в ходе ответа продемонстрирован базовый уровень, достаточный для начала обучения по основной образовательной программе. </w:t>
            </w:r>
          </w:p>
        </w:tc>
      </w:tr>
      <w:tr w:rsidR="00684F87">
        <w:trPr>
          <w:trHeight w:val="11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center"/>
            </w:pPr>
            <w:r>
              <w:t>40-49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both"/>
            </w:pPr>
            <w:r>
              <w:t>Ответ содержит грубые ошибки, значительная часть содержания вопроса не раскрыта, владение понятийным аппаратом крайне слабое, отсутствует знание специальной литературы.</w:t>
            </w:r>
          </w:p>
        </w:tc>
      </w:tr>
      <w:tr w:rsidR="00684F87">
        <w:trPr>
          <w:trHeight w:val="7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center"/>
            </w:pPr>
            <w:r>
              <w:t>0-39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F87" w:rsidRDefault="00454C1E">
            <w:pPr>
              <w:pStyle w:val="NoSpacing"/>
              <w:spacing w:line="360" w:lineRule="auto"/>
              <w:jc w:val="both"/>
            </w:pPr>
            <w:r>
              <w:t xml:space="preserve">Уровень знаний не позволяет </w:t>
            </w:r>
            <w:r w:rsidR="0055295B">
              <w:t>поступающему</w:t>
            </w:r>
            <w:r>
              <w:t xml:space="preserve"> приступить к освоению основной образовательной программы. </w:t>
            </w:r>
          </w:p>
        </w:tc>
      </w:tr>
    </w:tbl>
    <w:p w:rsidR="00684F87" w:rsidRDefault="00684F87">
      <w:pPr>
        <w:pStyle w:val="NoSpacing"/>
        <w:widowControl w:val="0"/>
        <w:spacing w:line="288" w:lineRule="auto"/>
        <w:jc w:val="both"/>
      </w:pPr>
    </w:p>
    <w:p w:rsidR="00684F87" w:rsidRDefault="00684F87">
      <w:pPr>
        <w:pStyle w:val="NoSpacing"/>
        <w:spacing w:line="288" w:lineRule="auto"/>
        <w:jc w:val="both"/>
      </w:pPr>
    </w:p>
    <w:sectPr w:rsidR="00684F87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3E" w:rsidRDefault="0062623E">
      <w:pPr>
        <w:spacing w:after="0" w:line="240" w:lineRule="auto"/>
      </w:pPr>
      <w:r>
        <w:separator/>
      </w:r>
    </w:p>
  </w:endnote>
  <w:endnote w:type="continuationSeparator" w:id="0">
    <w:p w:rsidR="0062623E" w:rsidRDefault="006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87" w:rsidRDefault="00684F87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3E" w:rsidRDefault="0062623E">
      <w:pPr>
        <w:spacing w:after="0" w:line="240" w:lineRule="auto"/>
      </w:pPr>
      <w:r>
        <w:separator/>
      </w:r>
    </w:p>
  </w:footnote>
  <w:footnote w:type="continuationSeparator" w:id="0">
    <w:p w:rsidR="0062623E" w:rsidRDefault="0062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87" w:rsidRDefault="00684F8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88D"/>
    <w:multiLevelType w:val="hybridMultilevel"/>
    <w:tmpl w:val="29786734"/>
    <w:numStyleLink w:val="5"/>
  </w:abstractNum>
  <w:abstractNum w:abstractNumId="1" w15:restartNumberingAfterBreak="0">
    <w:nsid w:val="19E227A0"/>
    <w:multiLevelType w:val="hybridMultilevel"/>
    <w:tmpl w:val="B6C07D7A"/>
    <w:styleLink w:val="2"/>
    <w:lvl w:ilvl="0" w:tplc="0F0812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6794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8718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A9F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C0F6A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26591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625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6E884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C8AC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300489"/>
    <w:multiLevelType w:val="hybridMultilevel"/>
    <w:tmpl w:val="81BC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B6B"/>
    <w:multiLevelType w:val="hybridMultilevel"/>
    <w:tmpl w:val="68FE3C90"/>
    <w:numStyleLink w:val="3"/>
  </w:abstractNum>
  <w:abstractNum w:abstractNumId="4" w15:restartNumberingAfterBreak="0">
    <w:nsid w:val="399A04ED"/>
    <w:multiLevelType w:val="hybridMultilevel"/>
    <w:tmpl w:val="3BEAD1CC"/>
    <w:styleLink w:val="6"/>
    <w:lvl w:ilvl="0" w:tplc="34A05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EAF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C2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6AE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DC3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0C9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AA99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6AEA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847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8C012C"/>
    <w:multiLevelType w:val="hybridMultilevel"/>
    <w:tmpl w:val="68FE3C90"/>
    <w:styleLink w:val="3"/>
    <w:lvl w:ilvl="0" w:tplc="DA3006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CD7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08472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E402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E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8234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86A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84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2F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184F4E"/>
    <w:multiLevelType w:val="hybridMultilevel"/>
    <w:tmpl w:val="EBBC3654"/>
    <w:numStyleLink w:val="4"/>
  </w:abstractNum>
  <w:abstractNum w:abstractNumId="7" w15:restartNumberingAfterBreak="0">
    <w:nsid w:val="569B4313"/>
    <w:multiLevelType w:val="hybridMultilevel"/>
    <w:tmpl w:val="EBBC3654"/>
    <w:styleLink w:val="4"/>
    <w:lvl w:ilvl="0" w:tplc="C682FB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2B5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06BD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3E08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4C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3EA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72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45F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84CE9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6EA1C4B"/>
    <w:multiLevelType w:val="hybridMultilevel"/>
    <w:tmpl w:val="B6C07D7A"/>
    <w:numStyleLink w:val="2"/>
  </w:abstractNum>
  <w:abstractNum w:abstractNumId="9" w15:restartNumberingAfterBreak="0">
    <w:nsid w:val="6F4E5385"/>
    <w:multiLevelType w:val="hybridMultilevel"/>
    <w:tmpl w:val="3BEAD1CC"/>
    <w:numStyleLink w:val="6"/>
  </w:abstractNum>
  <w:abstractNum w:abstractNumId="10" w15:restartNumberingAfterBreak="0">
    <w:nsid w:val="79643241"/>
    <w:multiLevelType w:val="hybridMultilevel"/>
    <w:tmpl w:val="29786734"/>
    <w:styleLink w:val="5"/>
    <w:lvl w:ilvl="0" w:tplc="D35ACF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341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842CD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327A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46BA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EA8F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0E4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1036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E212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87"/>
    <w:rsid w:val="00006110"/>
    <w:rsid w:val="00007B54"/>
    <w:rsid w:val="001D55B5"/>
    <w:rsid w:val="001D5A77"/>
    <w:rsid w:val="001F0346"/>
    <w:rsid w:val="00221BE3"/>
    <w:rsid w:val="00247E92"/>
    <w:rsid w:val="002D60C9"/>
    <w:rsid w:val="00323706"/>
    <w:rsid w:val="0037501D"/>
    <w:rsid w:val="00454C1E"/>
    <w:rsid w:val="0055295B"/>
    <w:rsid w:val="005D26C8"/>
    <w:rsid w:val="0062623E"/>
    <w:rsid w:val="00643CD7"/>
    <w:rsid w:val="00684F87"/>
    <w:rsid w:val="006E1201"/>
    <w:rsid w:val="006E7D38"/>
    <w:rsid w:val="0070153C"/>
    <w:rsid w:val="008E1167"/>
    <w:rsid w:val="00927D6A"/>
    <w:rsid w:val="009657B9"/>
    <w:rsid w:val="00990EF3"/>
    <w:rsid w:val="009E5857"/>
    <w:rsid w:val="00A56E92"/>
    <w:rsid w:val="00AB1A77"/>
    <w:rsid w:val="00B2772F"/>
    <w:rsid w:val="00CB658C"/>
    <w:rsid w:val="00CF258C"/>
    <w:rsid w:val="00D722A5"/>
    <w:rsid w:val="00E81DA4"/>
    <w:rsid w:val="00E96EBD"/>
    <w:rsid w:val="00F13C25"/>
    <w:rsid w:val="00F9130A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E7EB"/>
  <w15:docId w15:val="{DD968E3D-21F8-4532-9F14-C537565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pPr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character" w:customStyle="1" w:styleId="a0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0"/>
    <w:rPr>
      <w:color w:val="0563C1"/>
      <w:u w:val="single" w:color="0563C1"/>
      <w:lang w:val="ru-RU"/>
    </w:rPr>
  </w:style>
  <w:style w:type="paragraph" w:customStyle="1" w:styleId="a1">
    <w:name w:val="Для таблиц"/>
    <w:basedOn w:val="Normal"/>
    <w:rsid w:val="00CB65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color w:val="auto"/>
      <w:bdr w:val="none" w:sz="0" w:space="0" w:color="auto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B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8C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B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8C"/>
    <w:rPr>
      <w:rFonts w:eastAsia="Times New Roman"/>
      <w:color w:val="000000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5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hAnsi="Calibri"/>
      <w:color w:val="auto"/>
      <w:sz w:val="22"/>
      <w:szCs w:val="22"/>
      <w:bdr w:val="none" w:sz="0" w:space="0" w:color="auto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B658C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CB65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BD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epsis.net/library/id_8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Шабанова</dc:creator>
  <cp:lastModifiedBy>Рената Шабанова</cp:lastModifiedBy>
  <cp:revision>16</cp:revision>
  <cp:lastPrinted>2018-06-25T14:38:00Z</cp:lastPrinted>
  <dcterms:created xsi:type="dcterms:W3CDTF">2019-09-18T10:19:00Z</dcterms:created>
  <dcterms:modified xsi:type="dcterms:W3CDTF">2020-04-30T12:17:00Z</dcterms:modified>
</cp:coreProperties>
</file>